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153"/>
          <w:tab w:val="right" w:leader="none" w:pos="8306"/>
          <w:tab w:val="left" w:leader="none" w:pos="720"/>
          <w:tab w:val="center" w:leader="none" w:pos="4513"/>
          <w:tab w:val="right" w:leader="none" w:pos="9026"/>
        </w:tabs>
        <w:spacing w:after="0" w:before="240" w:line="276" w:lineRule="auto"/>
        <w:ind w:left="2" w:hanging="4"/>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Call-off Schedule 5 (Pricing Details)</w:t>
      </w:r>
    </w:p>
    <w:p w:rsidR="00000000" w:rsidDel="00000000" w:rsidP="00000000" w:rsidRDefault="00000000" w:rsidRPr="00000000" w14:paraId="00000004">
      <w:pPr>
        <w:spacing w:after="0" w:before="240" w:line="276" w:lineRule="auto"/>
        <w:ind w:hanging="2"/>
        <w:rPr>
          <w:rFonts w:ascii="Arial" w:cs="Arial" w:eastAsia="Arial" w:hAnsi="Arial"/>
          <w:b w:val="1"/>
          <w:bCs w:val="1"/>
          <w:sz w:val="36"/>
          <w:szCs w:val="36"/>
        </w:rPr>
      </w:pPr>
      <w:bookmarkStart w:colFirst="0" w:colLast="0" w:name="_heading=h.1y810tw" w:id="0"/>
      <w:bookmarkEnd w:id="0"/>
      <w:r w:rsidDel="00000000" w:rsidR="00000000" w:rsidRPr="00000000">
        <w:rPr>
          <w:rtl w:val="0"/>
        </w:rPr>
        <w:t xml:space="preserve">     </w:t>
      </w:r>
      <w:r w:rsidDel="00000000" w:rsidR="00000000" w:rsidRPr="00000000">
        <w:rPr>
          <w:rFonts w:ascii="Arial" w:cs="Arial" w:eastAsia="Arial" w:hAnsi="Arial"/>
          <w:b w:val="1"/>
          <w:bCs w:val="1"/>
          <w:sz w:val="36"/>
          <w:szCs w:val="36"/>
          <w:rtl w:val="0"/>
        </w:rPr>
        <w:t xml:space="preserve">Part A – Fixed Fee Pricing</w:t>
      </w:r>
    </w:p>
    <w:p w:rsidR="00000000" w:rsidDel="00000000" w:rsidP="00000000" w:rsidRDefault="00000000" w:rsidRPr="00000000" w14:paraId="00000005">
      <w:pPr>
        <w:spacing w:after="0" w:before="240" w:line="276" w:lineRule="auto"/>
        <w:ind w:hanging="2"/>
        <w:rPr>
          <w:rFonts w:ascii="Arial" w:cs="Arial" w:eastAsia="Arial" w:hAnsi="Arial"/>
          <w:b w:val="1"/>
          <w:bCs w:val="1"/>
          <w:sz w:val="36"/>
          <w:szCs w:val="36"/>
        </w:rPr>
      </w:pPr>
      <w:bookmarkStart w:colFirst="0" w:colLast="0" w:name="_heading=h.rcl300ss0xtp" w:id="1"/>
      <w:bookmarkEnd w:id="1"/>
      <w:r w:rsidDel="00000000" w:rsidR="00000000" w:rsidRPr="00000000">
        <w:rPr>
          <w:rtl w:val="0"/>
        </w:rPr>
      </w:r>
    </w:p>
    <w:p w:rsidR="00000000" w:rsidDel="00000000" w:rsidP="00000000" w:rsidRDefault="00000000" w:rsidRPr="00000000" w14:paraId="00000006">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bookmarkStart w:colFirst="0" w:colLast="0" w:name="_heading=h.gjdgxs" w:id="2"/>
      <w:bookmarkEnd w:id="2"/>
      <w:r w:rsidDel="00000000" w:rsidR="00000000" w:rsidRPr="00000000">
        <w:rPr>
          <w:rFonts w:ascii="Arial" w:cs="Arial" w:eastAsia="Arial" w:hAnsi="Arial"/>
          <w:b w:val="1"/>
          <w:bCs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Charges shall be: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hd w:fill="ffffff" w:val="clea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calculated on the basis of the rates and prices specified in the Fixed Fee Pricing Matrix as submitted at Further Competition.</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t>
      </w:r>
      <w:r w:rsidDel="00000000" w:rsidR="00000000" w:rsidRPr="00000000">
        <w:rPr>
          <w:rFonts w:ascii="Arial" w:cs="Arial" w:eastAsia="Arial" w:hAnsi="Arial"/>
          <w:b w:val="1"/>
          <w:bCs w:val="1"/>
          <w:color w:val="000000"/>
          <w:sz w:val="24"/>
          <w:szCs w:val="24"/>
          <w:rtl w:val="0"/>
        </w:rPr>
        <w:t xml:space="preserve">Monthly Payments</w:t>
      </w:r>
      <w:r w:rsidDel="00000000" w:rsidR="00000000" w:rsidRPr="00000000">
        <w:rPr>
          <w:rFonts w:ascii="Arial" w:cs="Arial" w:eastAsia="Arial" w:hAnsi="Arial"/>
          <w:color w:val="000000"/>
          <w:sz w:val="24"/>
          <w:szCs w:val="24"/>
          <w:rtl w:val="0"/>
        </w:rPr>
        <w:t xml:space="preserve">") which shall be calculated in accordance with paragraph 1.2 below.</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hanging="2"/>
        <w:jc w:val="center"/>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Pr>
        <w:drawing>
          <wp:inline distB="0" distT="0" distL="0" distR="0">
            <wp:extent cx="2813050" cy="215900"/>
            <wp:effectExtent b="0" l="0" r="0" t="0"/>
            <wp:docPr id="1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13050" cy="215900"/>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1"/>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tcBorders>
              <w:top w:color="000000" w:space="0" w:sz="4" w:val="single"/>
              <w:lef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is the Monthly Payment to be determined in respect of the Service Month “n”;</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righ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is the Baseline Monthly Payment for Service Month “n” which is calculated in accordance with paragraph 2 below;</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PTC</w:t>
            </w:r>
            <w:r w:rsidDel="00000000" w:rsidR="00000000" w:rsidRPr="00000000">
              <w:rPr>
                <w:rFonts w:ascii="Arial" w:cs="Arial" w:eastAsia="Arial" w:hAnsi="Arial"/>
                <w:color w:val="000000"/>
                <w:sz w:val="24"/>
                <w:szCs w:val="24"/>
                <w:vertAlign w:val="subscript"/>
                <w:rtl w:val="0"/>
              </w:rPr>
              <w:t xml:space="preserve">n-1</w:t>
              <w:tab/>
            </w:r>
            <w:r w:rsidDel="00000000" w:rsidR="00000000" w:rsidRPr="00000000">
              <w:rPr>
                <w:rtl w:val="0"/>
              </w:rPr>
            </w:r>
          </w:p>
        </w:tc>
        <w:tc>
          <w:tcPr>
            <w:tcBorders>
              <w:righ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is the Pass Through Costs due in respect of the Previous Service Month which is calculated in accordance with paragraph 3 below; </w:t>
            </w: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is the total price for Work Orders which have been completed in the Previous Service Month which shall be calculated in accordance with paragraph 4 below;</w:t>
            </w:r>
            <w:r w:rsidDel="00000000" w:rsidR="00000000" w:rsidRPr="00000000">
              <w:rPr>
                <w:rtl w:val="0"/>
              </w:rPr>
            </w:r>
          </w:p>
        </w:tc>
      </w:tr>
      <w:tr>
        <w:trPr>
          <w:cantSplit w:val="0"/>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TRP</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p w:rsidR="00000000" w:rsidDel="00000000" w:rsidP="00000000" w:rsidRDefault="00000000" w:rsidRPr="00000000" w14:paraId="00000017">
            <w:pPr>
              <w:ind w:hanging="2"/>
              <w:rPr>
                <w:rFonts w:ascii="Arial" w:cs="Arial" w:eastAsia="Arial" w:hAnsi="Arial"/>
                <w:sz w:val="24"/>
                <w:szCs w:val="24"/>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is the monthly TUPE risk premium payable for the Previous Service Month calculated in accordance with Call-Off Schedule 6 (TUPE Surcharge) ("Monthly TUPE Risk Premium") and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hanging="2"/>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is the KPI Credit in respect of the Previous Service Month off set against the Earn Back Amount due (if applicable) for the current Service Month (or where the Order Form states that KPIs are not applicable then 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Fonts w:ascii="Arial" w:cs="Arial" w:eastAsia="Arial" w:hAnsi="Arial"/>
                <w:color w:val="000000"/>
                <w:sz w:val="24"/>
                <w:szCs w:val="24"/>
                <w:rtl w:val="0"/>
              </w:rPr>
              <w:t xml:space="preserve"> shall be deemed to be £0).</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hanging="2"/>
              <w:rPr>
                <w:rFonts w:ascii="Arial" w:cs="Arial" w:eastAsia="Arial" w:hAnsi="Arial"/>
                <w:b w:val="1"/>
                <w:bCs w:val="1"/>
                <w:color w:val="000000"/>
                <w:sz w:val="24"/>
                <w:szCs w:val="24"/>
              </w:rPr>
            </w:pPr>
            <w:r w:rsidDel="00000000" w:rsidR="00000000" w:rsidRPr="00000000">
              <w:rPr>
                <w:rtl w:val="0"/>
              </w:rPr>
            </w:r>
          </w:p>
        </w:tc>
      </w:tr>
    </w:tbl>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Monthly Charge due in the final Service Month during the Contract Period will be calculated in accordance with the following formula which will supersede the formula in paragraph 1.2 above (and all terminology used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in the following formula will have the same meaning as provided for in paragraph 1.2 above):</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Pr>
        <w:drawing>
          <wp:inline distB="0" distT="0" distL="0" distR="0">
            <wp:extent cx="3149600" cy="209550"/>
            <wp:effectExtent b="0" l="0" r="0" t="0"/>
            <wp:docPr id="1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149600" cy="20955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final Service Month during the Contract Period a balancing payment will be calculated to account for:</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calculated in respect of the final Service Month;</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incurred within the final Service Month;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TUPE Risk Premium payable in respect of the final Service Month;</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Earn Back Amount payable in respect of the final Service Month;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price for Work Orders which have been completed in the final Service Month,</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26">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Baseline Monthly Payment</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baseline monthly payment ("</w:t>
      </w:r>
      <w:r w:rsidDel="00000000" w:rsidR="00000000" w:rsidRPr="00000000">
        <w:rPr>
          <w:rFonts w:ascii="Arial" w:cs="Arial" w:eastAsia="Arial" w:hAnsi="Arial"/>
          <w:b w:val="1"/>
          <w:bCs w:val="1"/>
          <w:color w:val="000000"/>
          <w:sz w:val="24"/>
          <w:szCs w:val="24"/>
          <w:rtl w:val="0"/>
        </w:rPr>
        <w:t xml:space="preserve">Baseline Monthly Payment</w:t>
      </w:r>
      <w:r w:rsidDel="00000000" w:rsidR="00000000" w:rsidRPr="00000000">
        <w:rPr>
          <w:rFonts w:ascii="Arial" w:cs="Arial" w:eastAsia="Arial" w:hAnsi="Arial"/>
          <w:color w:val="000000"/>
          <w:sz w:val="24"/>
          <w:szCs w:val="24"/>
          <w:rtl w:val="0"/>
        </w:rPr>
        <w:t xml:space="preserve">") payable in respect of a Service Month shall be set by reference to the Fixed Fee Pricing Matrix as submitted at Further Competition.</w:t>
      </w:r>
    </w:p>
    <w:p w:rsidR="00000000" w:rsidDel="00000000" w:rsidP="00000000" w:rsidRDefault="00000000" w:rsidRPr="00000000" w14:paraId="00000028">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Pass Through Costs</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Order Form indicates that the Supplier is entitled to claim Pass Through Costs then:</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those types of Pass Through Costs set out in the Order Form shall be recoverable;</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any claim for Pass Through Costs shall be supported by such documentation as the Buyer may request from time to time.</w:t>
      </w:r>
    </w:p>
    <w:p w:rsidR="00000000" w:rsidDel="00000000" w:rsidP="00000000" w:rsidRDefault="00000000" w:rsidRPr="00000000" w14:paraId="0000002E">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Work Orders</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price for Work Orders shall be calculated using the mechanism set out in Schedule </w:t>
      </w:r>
      <w:r w:rsidDel="00000000" w:rsidR="00000000" w:rsidRPr="00000000">
        <w:rPr>
          <w:rFonts w:ascii="Arial" w:cs="Arial" w:eastAsia="Arial" w:hAnsi="Arial"/>
          <w:sz w:val="24"/>
          <w:szCs w:val="24"/>
          <w:rtl w:val="0"/>
        </w:rPr>
        <w:t xml:space="preserve">25</w:t>
      </w:r>
      <w:r w:rsidDel="00000000" w:rsidR="00000000" w:rsidRPr="00000000">
        <w:rPr>
          <w:rFonts w:ascii="Arial" w:cs="Arial" w:eastAsia="Arial" w:hAnsi="Arial"/>
          <w:color w:val="000000"/>
          <w:sz w:val="24"/>
          <w:szCs w:val="24"/>
          <w:rtl w:val="0"/>
        </w:rPr>
        <w:t xml:space="preserve"> (Billable Works &amp; Projects).</w:t>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Indexation</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Indexation applies, the relevant adjustment shall be:</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134"/>
        </w:tabs>
        <w:spacing w:line="240" w:lineRule="auto"/>
        <w:ind w:left="0" w:hanging="2"/>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applied on the dates set out in the Order Form (each such date an </w:t>
      </w:r>
      <w:r w:rsidDel="00000000" w:rsidR="00000000" w:rsidRPr="00000000">
        <w:rPr>
          <w:rFonts w:ascii="Arial" w:cs="Arial" w:eastAsia="Arial" w:hAnsi="Arial"/>
          <w:b w:val="1"/>
          <w:bCs w:val="1"/>
          <w:color w:val="000000"/>
          <w:sz w:val="24"/>
          <w:szCs w:val="24"/>
          <w:rtl w:val="0"/>
        </w:rPr>
        <w:t xml:space="preserve">"Adjustment Date"</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134"/>
        </w:tabs>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38">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Pricing For Variations</w:t>
      </w:r>
      <w:r w:rsidDel="00000000" w:rsidR="00000000" w:rsidRPr="00000000">
        <w:rPr>
          <w:rtl w:val="0"/>
        </w:rPr>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process outlined in paragraph </w:t>
      </w:r>
      <w:r w:rsidDel="00000000" w:rsidR="00000000" w:rsidRPr="00000000">
        <w:rPr>
          <w:rFonts w:ascii="Arial" w:cs="Arial" w:eastAsia="Arial" w:hAnsi="Arial"/>
          <w:sz w:val="24"/>
          <w:szCs w:val="24"/>
          <w:rtl w:val="0"/>
        </w:rPr>
        <w:t xml:space="preserve">24</w:t>
      </w:r>
      <w:r w:rsidDel="00000000" w:rsidR="00000000" w:rsidRPr="00000000">
        <w:rPr>
          <w:rFonts w:ascii="Arial" w:cs="Arial" w:eastAsia="Arial" w:hAnsi="Arial"/>
          <w:color w:val="000000"/>
          <w:sz w:val="24"/>
          <w:szCs w:val="24"/>
          <w:rtl w:val="0"/>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responsible for ensuring that a Data Vali</w:t>
      </w:r>
      <w:r w:rsidDel="00000000" w:rsidR="00000000" w:rsidRPr="00000000">
        <w:rPr>
          <w:rFonts w:ascii="Arial" w:cs="Arial" w:eastAsia="Arial" w:hAnsi="Arial"/>
          <w:sz w:val="24"/>
          <w:szCs w:val="24"/>
          <w:rtl w:val="0"/>
        </w:rPr>
        <w:t xml:space="preserve">dation and </w:t>
      </w:r>
      <w:r w:rsidDel="00000000" w:rsidR="00000000" w:rsidRPr="00000000">
        <w:rPr>
          <w:rFonts w:ascii="Arial" w:cs="Arial" w:eastAsia="Arial" w:hAnsi="Arial"/>
          <w:color w:val="000000"/>
          <w:sz w:val="24"/>
          <w:szCs w:val="24"/>
          <w:rtl w:val="0"/>
        </w:rPr>
        <w:t xml:space="preserve">Asset </w:t>
      </w:r>
      <w:r w:rsidDel="00000000" w:rsidR="00000000" w:rsidRPr="00000000">
        <w:rPr>
          <w:rFonts w:ascii="Arial" w:cs="Arial" w:eastAsia="Arial" w:hAnsi="Arial"/>
          <w:sz w:val="24"/>
          <w:szCs w:val="24"/>
          <w:rtl w:val="0"/>
        </w:rPr>
        <w:t xml:space="preserve">Verification Audit</w:t>
      </w:r>
      <w:r w:rsidDel="00000000" w:rsidR="00000000" w:rsidRPr="00000000">
        <w:rPr>
          <w:rFonts w:ascii="Arial" w:cs="Arial" w:eastAsia="Arial" w:hAnsi="Arial"/>
          <w:color w:val="000000"/>
          <w:sz w:val="24"/>
          <w:szCs w:val="24"/>
          <w:rtl w:val="0"/>
        </w:rPr>
        <w:t xml:space="preserve"> is undertaken and completed during the Mobilisation Period to verify the Due Diligence Information</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Call-Off Pricing revisions for any / all inaccuracies in the Due Diligence Information identified outside of the Mobilisation Period are not permitted.</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w:t>
      </w:r>
      <w:r w:rsidDel="00000000" w:rsidR="00000000" w:rsidRPr="00000000">
        <w:rPr>
          <w:rFonts w:ascii="Arial" w:cs="Arial" w:eastAsia="Arial" w:hAnsi="Arial"/>
          <w:sz w:val="24"/>
          <w:szCs w:val="24"/>
          <w:rtl w:val="0"/>
        </w:rPr>
        <w:t xml:space="preserve">8 of the Core Terms</w:t>
      </w:r>
      <w:r w:rsidDel="00000000" w:rsidR="00000000" w:rsidRPr="00000000">
        <w:rPr>
          <w:rFonts w:ascii="Arial" w:cs="Arial" w:eastAsia="Arial" w:hAnsi="Arial"/>
          <w:color w:val="000000"/>
          <w:sz w:val="24"/>
          <w:szCs w:val="24"/>
          <w:rtl w:val="0"/>
        </w:rPr>
        <w:t xml:space="preserve">, where er</w:t>
      </w:r>
      <w:r w:rsidDel="00000000" w:rsidR="00000000" w:rsidRPr="00000000">
        <w:rPr>
          <w:rFonts w:ascii="Arial" w:cs="Arial" w:eastAsia="Arial" w:hAnsi="Arial"/>
          <w:sz w:val="24"/>
          <w:szCs w:val="24"/>
          <w:rtl w:val="0"/>
        </w:rPr>
        <w:t xml:space="preserve">rors,</w:t>
      </w:r>
      <w:r w:rsidDel="00000000" w:rsidR="00000000" w:rsidRPr="00000000">
        <w:rPr>
          <w:rFonts w:ascii="Arial" w:cs="Arial" w:eastAsia="Arial" w:hAnsi="Arial"/>
          <w:color w:val="000000"/>
          <w:sz w:val="24"/>
          <w:szCs w:val="24"/>
          <w:rtl w:val="0"/>
        </w:rPr>
        <w:t xml:space="preserve"> inaccuracies or omissions in the Service or Asset data provided by the Buyer prior to signature of a Call-Off Contract are identified by the Supplier during the Call-Off Contract Mobilisation Period, the following shall apply: </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sidDel="00000000" w:rsidR="00000000" w:rsidRPr="00000000">
        <w:rPr>
          <w:rFonts w:ascii="Arial" w:cs="Arial" w:eastAsia="Arial" w:hAnsi="Arial"/>
          <w:sz w:val="24"/>
          <w:szCs w:val="24"/>
          <w:rtl w:val="0"/>
        </w:rPr>
        <w:t xml:space="preserve">errors, inaccuracies or omissions </w:t>
      </w:r>
      <w:r w:rsidDel="00000000" w:rsidR="00000000" w:rsidRPr="00000000">
        <w:rPr>
          <w:rFonts w:ascii="Arial" w:cs="Arial" w:eastAsia="Arial" w:hAnsi="Arial"/>
          <w:color w:val="000000"/>
          <w:sz w:val="24"/>
          <w:szCs w:val="24"/>
          <w:rtl w:val="0"/>
        </w:rPr>
        <w:t xml:space="preserve">that led to incorrect pricing by the Supplier. </w:t>
      </w:r>
    </w:p>
    <w:p w:rsidR="00000000" w:rsidDel="00000000" w:rsidP="00000000" w:rsidRDefault="00000000" w:rsidRPr="00000000" w14:paraId="00000040">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Changes To Minimum / Living Wage</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in the Order Form, the Supplier may request an increase in the Charges by using the Variation process under Clause 24.</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include in their Impact Assessment evidence of the:</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Personnel affected by the Mandatory Wage Increase and the Services that they provide; </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affected Supplier Personnel’s current hourly rate of pay; and</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hours worked by each of the affected Supplier Personnel.  </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It is the Buyer’s discretion</w:t>
      </w:r>
      <w:r w:rsidDel="00000000" w:rsidR="00000000" w:rsidRPr="00000000">
        <w:rPr>
          <w:rFonts w:ascii="Arial" w:cs="Arial" w:eastAsia="Arial" w:hAnsi="Arial"/>
          <w:color w:val="000000"/>
          <w:sz w:val="24"/>
          <w:szCs w:val="24"/>
          <w:rtl w:val="0"/>
        </w:rPr>
        <w:t xml:space="preserve"> to accept the Variation request under this Paragraph 7 and must not accept any variation request that:</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seeks to increases in the Charges which go beyond the Services affected by the Mandatory Wage increase; and </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Invoicing</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w:t>
      </w:r>
      <w:r w:rsidDel="00000000" w:rsidR="00000000" w:rsidRPr="00000000">
        <w:rPr>
          <w:rFonts w:ascii="Arial" w:cs="Arial" w:eastAsia="Arial" w:hAnsi="Arial"/>
          <w:sz w:val="24"/>
          <w:szCs w:val="24"/>
          <w:rtl w:val="0"/>
        </w:rPr>
        <w:t xml:space="preserve">ing</w:t>
      </w:r>
      <w:r w:rsidDel="00000000" w:rsidR="00000000" w:rsidRPr="00000000">
        <w:rPr>
          <w:rFonts w:ascii="Arial" w:cs="Arial" w:eastAsia="Arial" w:hAnsi="Arial"/>
          <w:color w:val="000000"/>
          <w:sz w:val="24"/>
          <w:szCs w:val="24"/>
          <w:rtl w:val="0"/>
        </w:rPr>
        <w:t xml:space="preserve"> and payments) the Supplier shall ensure that each invoice it prepares in relation to the Charges: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051">
      <w:pPr>
        <w:numPr>
          <w:ilvl w:val="1"/>
          <w:numId w:val="1"/>
        </w:numPr>
        <w:spacing w:line="240" w:lineRule="auto"/>
        <w:ind w:left="0" w:hanging="2"/>
        <w:rPr>
          <w:color w:val="000000"/>
        </w:rPr>
      </w:pPr>
      <w:r w:rsidDel="00000000" w:rsidR="00000000" w:rsidRPr="00000000">
        <w:rPr>
          <w:rFonts w:ascii="Arial" w:cs="Arial" w:eastAsia="Arial" w:hAnsi="Arial"/>
          <w:color w:val="000000"/>
          <w:sz w:val="24"/>
          <w:szCs w:val="24"/>
          <w:rtl w:val="0"/>
        </w:rPr>
        <w:t xml:space="preserve">The Supplier shall prepare a draft of each invoice and supporting information</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E</w:t>
      </w:r>
      <w:r w:rsidDel="00000000" w:rsidR="00000000" w:rsidRPr="00000000">
        <w:rPr>
          <w:rFonts w:ascii="Arial" w:cs="Arial" w:eastAsia="Arial" w:hAnsi="Arial"/>
          <w:b w:val="1"/>
          <w:bCs w:val="1"/>
          <w:sz w:val="24"/>
          <w:szCs w:val="24"/>
          <w:rtl w:val="0"/>
        </w:rPr>
        <w:t xml:space="preserve">xtension Period</w:t>
      </w:r>
      <w:r w:rsidDel="00000000" w:rsidR="00000000" w:rsidRPr="00000000">
        <w:rPr>
          <w:rFonts w:ascii="Arial" w:cs="Arial" w:eastAsia="Arial" w:hAnsi="Arial"/>
          <w:color w:val="000000"/>
          <w:sz w:val="24"/>
          <w:szCs w:val="24"/>
          <w:rtl w:val="0"/>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Payments Due On Termination</w:t>
      </w:r>
      <w:r w:rsidDel="00000000" w:rsidR="00000000" w:rsidRPr="00000000">
        <w:rPr>
          <w:rtl w:val="0"/>
        </w:rPr>
      </w:r>
    </w:p>
    <w:p w:rsidR="00000000" w:rsidDel="00000000" w:rsidP="00000000" w:rsidRDefault="00000000" w:rsidRPr="00000000" w14:paraId="00000055">
      <w:pPr>
        <w:keepNext w:val="1"/>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termination of the Contract by the Buyer in accordance with clause 10.</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.2 Core Terms (and for the avoidance of doubt including partial termination under 10.7), the amount that is due for payment will be as set out below:</w:t>
      </w:r>
    </w:p>
    <w:p w:rsidR="00000000" w:rsidDel="00000000" w:rsidP="00000000" w:rsidRDefault="00000000" w:rsidRPr="00000000" w14:paraId="00000056">
      <w:pPr>
        <w:keepNext w:val="1"/>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Deliverables which have been properly provided by the Supplier in accordance with the terms of the Contract; </w:t>
      </w:r>
    </w:p>
    <w:p w:rsidR="00000000" w:rsidDel="00000000" w:rsidP="00000000" w:rsidRDefault="00000000" w:rsidRPr="00000000" w14:paraId="00000057">
      <w:pPr>
        <w:keepNext w:val="1"/>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proven direct costs incurred by the Supplier for removing Supplier Equipment and/or demobilising;</w:t>
      </w:r>
    </w:p>
    <w:p w:rsidR="00000000" w:rsidDel="00000000" w:rsidP="00000000" w:rsidRDefault="00000000" w:rsidRPr="00000000" w14:paraId="00000058">
      <w:pPr>
        <w:keepNext w:val="1"/>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proved unrecovered investment costs directly applicable to the provision of the Deliverables, if applicable; and</w:t>
      </w:r>
    </w:p>
    <w:p w:rsidR="00000000" w:rsidDel="00000000" w:rsidP="00000000" w:rsidRDefault="00000000" w:rsidRPr="00000000" w14:paraId="00000059">
      <w:pPr>
        <w:keepNext w:val="1"/>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5A">
      <w:pPr>
        <w:spacing w:after="0" w:line="240" w:lineRule="auto"/>
        <w:ind w:hanging="2"/>
        <w:jc w:val="left"/>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titlePg w:val="1"/>
        </w:sectPr>
      </w:pPr>
      <w:r w:rsidDel="00000000" w:rsidR="00000000" w:rsidRPr="00000000">
        <w:rPr>
          <w:rFonts w:ascii="Arial" w:cs="Arial" w:eastAsia="Arial" w:hAnsi="Arial"/>
          <w:color w:val="000000"/>
          <w:sz w:val="24"/>
          <w:szCs w:val="24"/>
          <w:rtl w:val="0"/>
        </w:rPr>
        <w:t xml:space="preserve">provided that such amounts shall only be recoverable if and to the extent that the Supplier has used all reasonable endeavours to minimise them</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40" w:lineRule="auto"/>
        <w:ind w:hanging="2"/>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Pricing Details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40" w:lineRule="auto"/>
        <w:ind w:hanging="2"/>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Lot A</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40" w:lineRule="auto"/>
        <w:ind w:hanging="2"/>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REDACTED TEXT under FOIA Section 43 Commercial Interests</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40" w:lineRule="auto"/>
        <w:ind w:hanging="2"/>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Lot B</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40" w:lineRule="auto"/>
        <w:ind w:hanging="2"/>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REDACTED TEXT under FOIA Section 43 Commercial Interests</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40" w:lineRule="auto"/>
        <w:ind w:hanging="2"/>
        <w:rPr>
          <w:rFonts w:ascii="Arial" w:cs="Arial" w:eastAsia="Arial" w:hAnsi="Arial"/>
          <w:b w:val="1"/>
          <w:bCs w:val="1"/>
          <w:sz w:val="36"/>
          <w:szCs w:val="36"/>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tabs>
        <w:tab w:val="center" w:leader="none" w:pos="4513"/>
        <w:tab w:val="right" w:leader="none" w:pos="9026"/>
      </w:tabs>
      <w:spacing w:after="0" w:line="240" w:lineRule="auto"/>
      <w:ind w:hanging="2"/>
      <w:rPr/>
    </w:pPr>
    <w:r w:rsidDel="00000000" w:rsidR="00000000" w:rsidRPr="00000000">
      <w:rPr>
        <w:rtl w:val="0"/>
      </w:rPr>
    </w:r>
  </w:p>
  <w:p w:rsidR="00000000" w:rsidDel="00000000" w:rsidP="00000000" w:rsidRDefault="00000000" w:rsidRPr="00000000" w14:paraId="0000006C">
    <w:pP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RM</w:t>
    </w:r>
    <w:r w:rsidDel="00000000" w:rsidR="00000000" w:rsidRPr="00000000">
      <w:rPr>
        <w:rFonts w:ascii="Arial" w:cs="Arial" w:eastAsia="Arial" w:hAnsi="Arial"/>
        <w:sz w:val="20"/>
        <w:szCs w:val="20"/>
        <w:rtl w:val="0"/>
      </w:rPr>
      <w:t xml:space="preserve">6257</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v2.0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40" w:lineRule="auto"/>
      <w:ind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tab/>
    </w:r>
    <w:r w:rsidDel="00000000" w:rsidR="00000000" w:rsidRPr="00000000">
      <w:rPr>
        <w:rFonts w:ascii="Arial" w:cs="Arial" w:eastAsia="Arial" w:hAnsi="Arial"/>
        <w:sz w:val="20"/>
        <w:szCs w:val="20"/>
        <w:rtl w:val="0"/>
      </w:rPr>
      <w:t xml:space="preserve">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hanging="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hanging="2"/>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tabs>
        <w:tab w:val="center" w:leader="none" w:pos="4513"/>
        <w:tab w:val="right" w:leader="none" w:pos="9026"/>
      </w:tabs>
      <w:spacing w:after="0" w:line="240" w:lineRule="auto"/>
      <w:ind w:hanging="2"/>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Call-Off Schedule 5 (Pricing Details) </w:t>
    </w:r>
  </w:p>
  <w:p w:rsidR="00000000" w:rsidDel="00000000" w:rsidP="00000000" w:rsidRDefault="00000000" w:rsidRPr="00000000" w14:paraId="00000063">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Call-Off</w:t>
    </w:r>
    <w:r w:rsidDel="00000000" w:rsidR="00000000" w:rsidRPr="00000000">
      <w:rPr>
        <w:rtl w:val="0"/>
      </w:rPr>
      <w:t xml:space="preserve"> </w:t>
    </w:r>
    <w:r w:rsidDel="00000000" w:rsidR="00000000" w:rsidRPr="00000000">
      <w:rPr>
        <w:rFonts w:ascii="Arial" w:cs="Arial" w:eastAsia="Arial" w:hAnsi="Arial"/>
        <w:sz w:val="20"/>
        <w:szCs w:val="20"/>
        <w:rtl w:val="0"/>
      </w:rPr>
      <w:t xml:space="preserve">Ref: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4">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153"/>
        <w:tab w:val="right" w:leader="none" w:pos="8306"/>
      </w:tabs>
      <w:ind w:hanging="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tabs>
        <w:tab w:val="center" w:leader="none" w:pos="4513"/>
        <w:tab w:val="right" w:leader="none" w:pos="9026"/>
      </w:tabs>
      <w:spacing w:after="0" w:line="240" w:lineRule="auto"/>
      <w:ind w:hanging="2"/>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Call-Off Schedule 5 (Pricing Details) </w:t>
    </w:r>
  </w:p>
  <w:p w:rsidR="00000000" w:rsidDel="00000000" w:rsidP="00000000" w:rsidRDefault="00000000" w:rsidRPr="00000000" w14:paraId="00000067">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Call-Off</w:t>
    </w:r>
    <w:r w:rsidDel="00000000" w:rsidR="00000000" w:rsidRPr="00000000">
      <w:rPr>
        <w:rtl w:val="0"/>
      </w:rPr>
      <w:t xml:space="preserve"> </w:t>
    </w:r>
    <w:r w:rsidDel="00000000" w:rsidR="00000000" w:rsidRPr="00000000">
      <w:rPr>
        <w:rFonts w:ascii="Arial" w:cs="Arial" w:eastAsia="Arial" w:hAnsi="Arial"/>
        <w:sz w:val="20"/>
        <w:szCs w:val="20"/>
        <w:rtl w:val="0"/>
      </w:rPr>
      <w:t xml:space="preserve">Ref: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8">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153"/>
        <w:tab w:val="right" w:leader="none" w:pos="8306"/>
      </w:tabs>
      <w:ind w:hanging="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153"/>
        <w:tab w:val="right" w:leader="none" w:pos="8306"/>
      </w:tabs>
      <w:ind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bCs w:val="0"/>
        <w:smallCaps w:val="0"/>
        <w:vertAlign w:val="baseline"/>
      </w:rPr>
    </w:lvl>
    <w:lvl w:ilvl="2">
      <w:start w:val="1"/>
      <w:numFmt w:val="decimal"/>
      <w:lvlText w:val="%1.%2.%3"/>
      <w:lvlJc w:val="left"/>
      <w:pPr>
        <w:ind w:left="1926" w:hanging="936"/>
      </w:pPr>
      <w:rPr>
        <w:b w:val="0"/>
        <w:bCs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_GB"/>
      </w:rPr>
    </w:rPrDefault>
    <w:pPrDefault>
      <w:pPr>
        <w:spacing w:after="240" w:line="360" w:lineRule="auto"/>
        <w:ind w:hanging="1"/>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style>
  <w:style w:type="paragraph" w:styleId="Heading2">
    <w:name w:val="heading 2"/>
    <w:basedOn w:val="Normal"/>
    <w:next w:val="Normal"/>
    <w:pPr/>
    <w:rPr>
      <w:rFonts w:ascii="Calibri" w:cs="Calibri" w:eastAsia="Calibri" w:hAnsi="Calibri"/>
    </w:rPr>
  </w:style>
  <w:style w:type="paragraph" w:styleId="Heading3">
    <w:name w:val="heading 3"/>
    <w:basedOn w:val="Normal"/>
    <w:next w:val="Normal"/>
    <w:pPr/>
    <w:rPr/>
  </w:style>
  <w:style w:type="paragraph" w:styleId="Heading4">
    <w:name w:val="heading 4"/>
    <w:basedOn w:val="Normal"/>
    <w:next w:val="Normal"/>
    <w:pPr/>
    <w:rPr/>
  </w:style>
  <w:style w:type="paragraph" w:styleId="Heading5">
    <w:name w:val="heading 5"/>
    <w:basedOn w:val="Normal"/>
    <w:next w:val="Normal"/>
    <w:pPr/>
    <w:rPr/>
  </w:style>
  <w:style w:type="paragraph" w:styleId="Heading6">
    <w:name w:val="heading 6"/>
    <w:basedOn w:val="Normal"/>
    <w:next w:val="Normal"/>
    <w:pPr/>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link w:val="Heading7Char"/>
    <w:qFormat w:val="1"/>
    <w:rsid w:val="001E6AE0"/>
    <w:pPr>
      <w:numPr>
        <w:ilvl w:val="6"/>
        <w:numId w:val="2"/>
      </w:numPr>
      <w:spacing w:line="1" w:lineRule="atLeast"/>
      <w:ind w:left="-1" w:hanging="1"/>
      <w:textAlignment w:val="top"/>
      <w:outlineLvl w:val="6"/>
    </w:pPr>
    <w:rPr>
      <w:lang w:eastAsia="zh-CN"/>
    </w:rPr>
  </w:style>
  <w:style w:type="paragraph" w:styleId="Heading8">
    <w:name w:val="heading 8"/>
    <w:basedOn w:val="Normal"/>
    <w:link w:val="Heading8Char"/>
    <w:qFormat w:val="1"/>
    <w:rsid w:val="001E6AE0"/>
    <w:pPr>
      <w:numPr>
        <w:ilvl w:val="7"/>
        <w:numId w:val="2"/>
      </w:numPr>
      <w:spacing w:line="1" w:lineRule="atLeast"/>
      <w:ind w:left="-1" w:hanging="1"/>
      <w:textAlignment w:val="top"/>
      <w:outlineLvl w:val="7"/>
    </w:pPr>
    <w:rPr>
      <w:lang w:eastAsia="zh-CN"/>
    </w:rPr>
  </w:style>
  <w:style w:type="paragraph" w:styleId="Heading9">
    <w:name w:val="heading 9"/>
    <w:basedOn w:val="Normal"/>
    <w:link w:val="Heading9Char"/>
    <w:qFormat w:val="1"/>
    <w:rsid w:val="001E6AE0"/>
    <w:pPr>
      <w:numPr>
        <w:ilvl w:val="8"/>
        <w:numId w:val="2"/>
      </w:numPr>
      <w:spacing w:line="1" w:lineRule="atLeast"/>
      <w:ind w:left="-1" w:hanging="1"/>
      <w:textAlignment w:val="top"/>
      <w:outlineLvl w:val="8"/>
    </w:pPr>
    <w:rPr>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character" w:styleId="Heading1Char" w:customStyle="1">
    <w:name w:val="Heading 1 Char"/>
    <w:basedOn w:val="DefaultParagraphFont"/>
    <w:link w:val="Heading1"/>
    <w:uiPriority w:val="9"/>
    <w:rsid w:val="001E6AE0"/>
    <w:rPr>
      <w:rFonts w:ascii="Times New Roman" w:cs="Times New Roman" w:eastAsia="Times New Roman" w:hAnsi="Times New Roman"/>
      <w:position w:val="-1"/>
      <w:lang w:eastAsia="zh-CN"/>
    </w:rPr>
  </w:style>
  <w:style w:type="character" w:styleId="Heading2Char" w:customStyle="1">
    <w:name w:val="Heading 2 Char"/>
    <w:basedOn w:val="DefaultParagraphFont"/>
    <w:link w:val="Heading2"/>
    <w:uiPriority w:val="9"/>
    <w:semiHidden w:val="1"/>
    <w:rsid w:val="001E6AE0"/>
    <w:rPr>
      <w:rFonts w:ascii="Calibri" w:cs="Times New Roman" w:eastAsia="STZhongsong" w:hAnsi="Calibri"/>
      <w:position w:val="-1"/>
      <w:lang w:eastAsia="zh-CN"/>
    </w:rPr>
  </w:style>
  <w:style w:type="character" w:styleId="Heading3Char" w:customStyle="1">
    <w:name w:val="Heading 3 Char"/>
    <w:basedOn w:val="DefaultParagraphFont"/>
    <w:link w:val="Heading3"/>
    <w:uiPriority w:val="9"/>
    <w:semiHidden w:val="1"/>
    <w:rsid w:val="001E6AE0"/>
    <w:rPr>
      <w:rFonts w:ascii="Times New Roman" w:cs="Times New Roman" w:eastAsia="Times New Roman" w:hAnsi="Times New Roman"/>
      <w:position w:val="-1"/>
      <w:lang w:eastAsia="zh-CN"/>
    </w:rPr>
  </w:style>
  <w:style w:type="character" w:styleId="Heading4Char" w:customStyle="1">
    <w:name w:val="Heading 4 Char"/>
    <w:basedOn w:val="DefaultParagraphFont"/>
    <w:link w:val="Heading4"/>
    <w:uiPriority w:val="9"/>
    <w:semiHidden w:val="1"/>
    <w:rsid w:val="001E6AE0"/>
    <w:rPr>
      <w:rFonts w:ascii="Times New Roman" w:cs="Times New Roman" w:eastAsia="Times New Roman" w:hAnsi="Times New Roman"/>
      <w:position w:val="-1"/>
      <w:lang w:eastAsia="zh-CN"/>
    </w:rPr>
  </w:style>
  <w:style w:type="character" w:styleId="Heading5Char" w:customStyle="1">
    <w:name w:val="Heading 5 Char"/>
    <w:basedOn w:val="DefaultParagraphFont"/>
    <w:link w:val="Heading5"/>
    <w:uiPriority w:val="9"/>
    <w:semiHidden w:val="1"/>
    <w:rsid w:val="001E6AE0"/>
    <w:rPr>
      <w:rFonts w:ascii="Times New Roman" w:cs="Times New Roman" w:eastAsia="Times New Roman" w:hAnsi="Times New Roman"/>
      <w:position w:val="-1"/>
      <w:lang w:eastAsia="zh-CN"/>
    </w:rPr>
  </w:style>
  <w:style w:type="character" w:styleId="Heading6Char" w:customStyle="1">
    <w:name w:val="Heading 6 Char"/>
    <w:basedOn w:val="DefaultParagraphFont"/>
    <w:link w:val="Heading6"/>
    <w:uiPriority w:val="9"/>
    <w:semiHidden w:val="1"/>
    <w:rsid w:val="001E6AE0"/>
    <w:rPr>
      <w:rFonts w:ascii="Times New Roman" w:cs="Times New Roman" w:eastAsia="Times New Roman" w:hAnsi="Times New Roman"/>
      <w:position w:val="-1"/>
      <w:lang w:eastAsia="zh-CN"/>
    </w:rPr>
  </w:style>
  <w:style w:type="character" w:styleId="Heading7Char" w:customStyle="1">
    <w:name w:val="Heading 7 Char"/>
    <w:basedOn w:val="DefaultParagraphFont"/>
    <w:link w:val="Heading7"/>
    <w:rsid w:val="001E6AE0"/>
    <w:rPr>
      <w:rFonts w:ascii="Times New Roman" w:cs="Times New Roman" w:eastAsia="Times New Roman" w:hAnsi="Times New Roman"/>
      <w:position w:val="-1"/>
      <w:lang w:eastAsia="zh-CN"/>
    </w:rPr>
  </w:style>
  <w:style w:type="character" w:styleId="Heading8Char" w:customStyle="1">
    <w:name w:val="Heading 8 Char"/>
    <w:basedOn w:val="DefaultParagraphFont"/>
    <w:link w:val="Heading8"/>
    <w:rsid w:val="001E6AE0"/>
    <w:rPr>
      <w:rFonts w:ascii="Times New Roman" w:cs="Times New Roman" w:eastAsia="Times New Roman" w:hAnsi="Times New Roman"/>
      <w:position w:val="-1"/>
      <w:lang w:eastAsia="zh-CN"/>
    </w:rPr>
  </w:style>
  <w:style w:type="character" w:styleId="Heading9Char" w:customStyle="1">
    <w:name w:val="Heading 9 Char"/>
    <w:basedOn w:val="DefaultParagraphFont"/>
    <w:link w:val="Heading9"/>
    <w:rsid w:val="001E6AE0"/>
    <w:rPr>
      <w:rFonts w:ascii="Times New Roman" w:cs="Times New Roman" w:eastAsia="Times New Roman" w:hAnsi="Times New Roman"/>
      <w:position w:val="-1"/>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0E45EC"/>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E45EC"/>
    <w:rPr>
      <w:rFonts w:ascii="Segoe UI" w:cs="Segoe UI" w:hAnsi="Segoe UI"/>
      <w:position w:val="-1"/>
      <w:sz w:val="18"/>
      <w:szCs w:val="18"/>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iWffDlFZYd3ynzQh7/BrYUvwyA==">CgMxLjAyCWguMXk4MTB0dzIOaC5yY2wzMDBzczB4dHAyCGguZ2pkZ3hzMgloLjMwajB6bGwyCWguM3pueXNoNzIJaC4yZXQ5MnAwMghoLnR5amN3dDIJaC4zZHk2dmttMgloLjF0M2g1c2YyCWguNGQzNG9nODIJaC4yczhleW8xMgloLjE3ZHA4dnU4AHIhMV9uSC1hNnE3Ymdad3loVkh6Zm9wT0tuMkNxd0lYWGo5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2025-10-22T09:01:00Z</dcterms:created>
  <dc:creator>Becky Leftwich</dc:creator>
</cp:coreProperties>
</file>